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“LA INFERTILIDAD EN LAS MUJERES. PROBLEMÁTICA PSICOSOCIAL ACTUAL”</w:t>
      </w:r>
    </w:p>
    <w:p w:rsidR="00000000" w:rsidDel="00000000" w:rsidP="00000000" w:rsidRDefault="00000000" w:rsidRPr="00000000" w14:paraId="00000003">
      <w:pPr>
        <w:jc w:val="center"/>
        <w:rPr>
          <w:rFonts w:ascii="Arial" w:cs="Arial" w:eastAsia="Arial" w:hAnsi="Arial"/>
          <w:i w:val="1"/>
        </w:rPr>
      </w:pPr>
      <w:r w:rsidDel="00000000" w:rsidR="00000000" w:rsidRPr="00000000">
        <w:rPr>
          <w:rtl w:val="0"/>
        </w:rPr>
      </w:r>
    </w:p>
    <w:p w:rsidR="00000000" w:rsidDel="00000000" w:rsidP="00000000" w:rsidRDefault="00000000" w:rsidRPr="00000000" w14:paraId="00000004">
      <w:pPr>
        <w:spacing w:line="600" w:lineRule="auto"/>
        <w:ind w:left="3600" w:firstLine="0"/>
        <w:jc w:val="left"/>
        <w:rPr>
          <w:rFonts w:ascii="Arial" w:cs="Arial" w:eastAsia="Arial" w:hAnsi="Arial"/>
          <w:sz w:val="24"/>
          <w:szCs w:val="24"/>
        </w:rPr>
      </w:pPr>
      <w:bookmarkStart w:colFirst="0" w:colLast="0" w:name="_heading=h.qyrbcuwlqp5f" w:id="0"/>
      <w:bookmarkEnd w:id="0"/>
      <w:r w:rsidDel="00000000" w:rsidR="00000000" w:rsidRPr="00000000">
        <w:rPr>
          <w:rFonts w:ascii="Arial" w:cs="Arial" w:eastAsia="Arial" w:hAnsi="Arial"/>
          <w:sz w:val="24"/>
          <w:szCs w:val="24"/>
          <w:rtl w:val="0"/>
        </w:rPr>
        <w:t xml:space="preserve">Emilia de la Llave Gil. emi.delallave@gmail.com</w:t>
      </w:r>
    </w:p>
    <w:p w:rsidR="00000000" w:rsidDel="00000000" w:rsidP="00000000" w:rsidRDefault="00000000" w:rsidRPr="00000000" w14:paraId="00000005">
      <w:pPr>
        <w:jc w:val="left"/>
        <w:rPr>
          <w:rFonts w:ascii="Arial" w:cs="Arial" w:eastAsia="Arial" w:hAnsi="Arial"/>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Duración de la comunicación: 35-40’ (10-15’ para preguntas).</w:t>
      </w:r>
    </w:p>
    <w:p w:rsidR="00000000" w:rsidDel="00000000" w:rsidP="00000000" w:rsidRDefault="00000000" w:rsidRPr="00000000" w14:paraId="00000007">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Idioma de la comunicación: español / presencial</w:t>
      </w:r>
    </w:p>
    <w:p w:rsidR="00000000" w:rsidDel="00000000" w:rsidP="00000000" w:rsidRDefault="00000000" w:rsidRPr="00000000" w14:paraId="00000008">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Aporta traducción: Sí.</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RESUMEN</w:t>
      </w: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En la sociedad occidentalizada actual, tener un hijo/a se está convirtiendo en un deseo que puede pasar al rango de obsesión. La infertilidad afecta a millones de personas en edad reproductiva en todo el mundo y la Organización Mundial de la Salud estima que entre 48 millones de parejas y 186 millones de personas viven con infertilidad en todo el mundo.</w:t>
      </w:r>
    </w:p>
    <w:p w:rsidR="00000000" w:rsidDel="00000000" w:rsidP="00000000" w:rsidRDefault="00000000" w:rsidRPr="00000000" w14:paraId="0000000C">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Por qué es importante atender a mujeres y parejas con esta problemática y tratar con un enfoque gestáltico el duelo de la infertilidad. Se trata de un asunto inconcluso que afecta a la salud mental de las mujeres así como del buen funcionamiento psicosocial. Que las mujeres podamos ser conscientes de cómo queremos engendrar y de qué manera, pudiendo tomar decisiones más allá de las recomendaciones de las clínicas de fertilidad que cada vez se están “reproduciendo” muy rápidamente. El hecho de sufrir “maternidades hiperdeseadas” nos genera ansiedad, depresión y sintomatología clínica no tratada. El trabajar con los mecanismos neuróticos de la confluencia, la retroflexión, los introyectos y el egotismo es básico. La   ingeniería   genética   controla   los   procesos   genéticos   y   biológicos. Se produce, reproduce y manipula la vida humana. El hombre a través de la ciencia, ha llegado por fin a ser creador de vida. </w:t>
      </w:r>
    </w:p>
    <w:p w:rsidR="00000000" w:rsidDel="00000000" w:rsidP="00000000" w:rsidRDefault="00000000" w:rsidRPr="00000000" w14:paraId="0000000D">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Las mujeres nos hemos preparado durante décadas para ser independientes y libres, para poder elegir el tipo de vida que queremos. Sin embargo, se nos sigue castigando si no somos madres, porque es el fin de las mujeres y nosotras nos retroflectamos si no lo conseguimos. Hemos llegado tarde a tener hijo/as, entonces,   nos meten en laboratorios, nuestros úteros se llenan de aparatos fríos, metálicos y asépticos y los niño/as ahora son engendrado/as por tecnología. El generar niño/as es otro sistema de producción más.</w:t>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705" w:hanging="705"/>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Palabras clave</w:t>
      </w:r>
      <w:r w:rsidDel="00000000" w:rsidR="00000000" w:rsidRPr="00000000">
        <w:rPr>
          <w:rFonts w:ascii="Arial" w:cs="Arial" w:eastAsia="Arial" w:hAnsi="Arial"/>
          <w:color w:val="000000"/>
          <w:sz w:val="24"/>
          <w:szCs w:val="24"/>
          <w:rtl w:val="0"/>
        </w:rPr>
        <w:t xml:space="preserve">: No maternidad, Mujer, Infertilidad, Duelo, Neurosis.</w:t>
      </w:r>
    </w:p>
    <w:p w:rsidR="00000000" w:rsidDel="00000000" w:rsidP="00000000" w:rsidRDefault="00000000" w:rsidRPr="00000000" w14:paraId="00000010">
      <w:pPr>
        <w:rPr>
          <w:rFonts w:ascii="Arial" w:cs="Arial" w:eastAsia="Arial" w:hAnsi="Arial"/>
          <w:i w:val="1"/>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05" w:hanging="705"/>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CV: </w:t>
        <w:tab/>
      </w:r>
      <w:r w:rsidDel="00000000" w:rsidR="00000000" w:rsidRPr="00000000">
        <w:rPr>
          <w:rFonts w:ascii="Arial" w:cs="Arial" w:eastAsia="Arial" w:hAnsi="Arial"/>
          <w:color w:val="000000"/>
          <w:sz w:val="24"/>
          <w:szCs w:val="24"/>
          <w:rtl w:val="0"/>
        </w:rPr>
        <w:t xml:space="preserve">Psicóloga General Sanitaria y Psicoterapeuta Gestalt. Miembro Didacta y Supervisor de la AETG. Reconocida por la FEAP Y EFPA. Formada en Eneagrama, análisis y conducción de grupos y constelaciones familiares. Experiencia en Salud Mental, adicciones, patología dual y Red de Atención Psicosocial a Personas con Enfermedad Mental. Formadora y colaboradora en Escuela Gestalt Equipo Centro Formación. Atención individual y grupal a mujeres en procesos de infertilidad.</w:t>
      </w:r>
      <w:r w:rsidDel="00000000" w:rsidR="00000000" w:rsidRPr="00000000">
        <w:rPr>
          <w:rtl w:val="0"/>
        </w:rPr>
      </w:r>
    </w:p>
    <w:p w:rsidR="00000000" w:rsidDel="00000000" w:rsidP="00000000" w:rsidRDefault="00000000" w:rsidRPr="00000000" w14:paraId="00000013">
      <w:pPr>
        <w:rPr>
          <w:rFonts w:ascii="Arial" w:cs="Arial" w:eastAsia="Arial" w:hAnsi="Arial"/>
          <w:i w:val="1"/>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15">
      <w:pPr>
        <w:tabs>
          <w:tab w:val="left" w:leader="none" w:pos="3465"/>
          <w:tab w:val="center" w:leader="none" w:pos="4535"/>
        </w:tabs>
        <w:jc w:val="left"/>
        <w:rPr>
          <w:rFonts w:ascii="Arial" w:cs="Arial" w:eastAsia="Arial" w:hAnsi="Arial"/>
          <w:b w:val="1"/>
          <w:sz w:val="28"/>
          <w:szCs w:val="28"/>
        </w:rPr>
      </w:pPr>
      <w:bookmarkStart w:colFirst="0" w:colLast="0" w:name="_heading=h.3znysh7" w:id="3"/>
      <w:bookmarkEnd w:id="3"/>
      <w:r w:rsidDel="00000000" w:rsidR="00000000" w:rsidRPr="00000000">
        <w:rPr>
          <w:rFonts w:ascii="Arial" w:cs="Arial" w:eastAsia="Arial" w:hAnsi="Arial"/>
          <w:b w:val="1"/>
          <w:sz w:val="28"/>
          <w:szCs w:val="28"/>
          <w:rtl w:val="0"/>
        </w:rPr>
        <w:tab/>
      </w:r>
    </w:p>
    <w:p w:rsidR="00000000" w:rsidDel="00000000" w:rsidP="00000000" w:rsidRDefault="00000000" w:rsidRPr="00000000" w14:paraId="00000016">
      <w:pPr>
        <w:tabs>
          <w:tab w:val="left" w:leader="none" w:pos="3465"/>
          <w:tab w:val="center" w:leader="none" w:pos="4535"/>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"INFERTILITY IN WOMEN. CURRENT PSYCHOSOCIAL PROBLEMS"</w:t>
      </w:r>
    </w:p>
    <w:p w:rsidR="00000000" w:rsidDel="00000000" w:rsidP="00000000" w:rsidRDefault="00000000" w:rsidRPr="00000000" w14:paraId="00000017">
      <w:pPr>
        <w:jc w:val="left"/>
        <w:rPr>
          <w:rFonts w:ascii="Arial" w:cs="Arial" w:eastAsia="Arial" w:hAnsi="Arial"/>
          <w:sz w:val="24"/>
          <w:szCs w:val="24"/>
        </w:rPr>
      </w:pPr>
      <w:r w:rsidDel="00000000" w:rsidR="00000000" w:rsidRPr="00000000">
        <w:rPr>
          <w:rFonts w:ascii="Arial" w:cs="Arial" w:eastAsia="Arial" w:hAnsi="Arial"/>
          <w:sz w:val="24"/>
          <w:szCs w:val="24"/>
          <w:rtl w:val="0"/>
        </w:rPr>
        <w:tab/>
        <w:tab/>
        <w:tab/>
        <w:tab/>
        <w:tab/>
        <w:t xml:space="preserve">Emilia de la Llave Gil, emi.delallave@gmail.com</w:t>
      </w:r>
    </w:p>
    <w:p w:rsidR="00000000" w:rsidDel="00000000" w:rsidP="00000000" w:rsidRDefault="00000000" w:rsidRPr="00000000" w14:paraId="00000018">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Communication: 35-40’ - Questions: 10-15’.</w:t>
      </w:r>
    </w:p>
    <w:p w:rsidR="00000000" w:rsidDel="00000000" w:rsidP="00000000" w:rsidRDefault="00000000" w:rsidRPr="00000000" w14:paraId="0000001A">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Oral Presentation language: Spanish / Face-to-face</w:t>
      </w:r>
    </w:p>
    <w:p w:rsidR="00000000" w:rsidDel="00000000" w:rsidP="00000000" w:rsidRDefault="00000000" w:rsidRPr="00000000" w14:paraId="0000001B">
      <w:pPr>
        <w:jc w:val="left"/>
        <w:rPr>
          <w:rFonts w:ascii="Arial" w:cs="Arial" w:eastAsia="Arial" w:hAnsi="Arial"/>
          <w:sz w:val="24"/>
          <w:szCs w:val="24"/>
        </w:rPr>
      </w:pPr>
      <w:bookmarkStart w:colFirst="0" w:colLast="0" w:name="_heading=h.gjdgxs" w:id="4"/>
      <w:bookmarkEnd w:id="4"/>
      <w:r w:rsidDel="00000000" w:rsidR="00000000" w:rsidRPr="00000000">
        <w:rPr>
          <w:rFonts w:ascii="Arial" w:cs="Arial" w:eastAsia="Arial" w:hAnsi="Arial"/>
          <w:sz w:val="24"/>
          <w:szCs w:val="24"/>
          <w:rtl w:val="0"/>
        </w:rPr>
        <w:t xml:space="preserve">Provides translation: Yes, into English.</w:t>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In today's westernised society, having a child is becoming a desire that can rise to the level of an obsession.  Infertility affects millions of people of reproductive age worldwide and the World Health Organisation estimates that between 48 million couples and 186 million people are living with infertility worldwide.</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Why it is important to care for women and couples with this problem and to treat the grief of infertility with a Gestalt approach. It is an unfinished business that affects women's mental health as well as psychosocial functioning. That we women can be aware of how we want to beget and in what way, being able to make decisions beyond the recommendations of fertility clinics that are increasingly "reproducing" very quickly. Suffering from "hyper-desired maternity" generates anxiety, depression and untreated clinical symptomatology. Working with the neurotic mechanisms of confluence, retroflexion, introjects and egotism is basic. Genetic engineering controls genetic and biological processes. Human life is produced, reproduced and manipulated. Man, through science, has finally become a creator of life.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72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We women have been preparing ourselves for decades to be independent and free, to be able to choose the kind of life we want. However, we are still punished if we do not become mothers, because it is the end of women and we are back-flushed if we do not succeed. We are too late to have children, so we are put in laboratories, our wombs are filled with cold, metallic, aseptic devices and the children are now generated by technology. Child-making is yet another system of production.</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705" w:hanging="705"/>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 WORDS: </w:t>
      </w:r>
      <w:r w:rsidDel="00000000" w:rsidR="00000000" w:rsidRPr="00000000">
        <w:rPr>
          <w:rFonts w:ascii="Arial" w:cs="Arial" w:eastAsia="Arial" w:hAnsi="Arial"/>
          <w:sz w:val="24"/>
          <w:szCs w:val="24"/>
          <w:rtl w:val="0"/>
        </w:rPr>
        <w:t xml:space="preserve">Non-motherhood, Women, Infertility, Bereavement, Neurosis.</w:t>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8"/>
          <w:szCs w:val="28"/>
        </w:rPr>
      </w:pPr>
      <w:r w:rsidDel="00000000" w:rsidR="00000000" w:rsidRPr="00000000">
        <w:rPr>
          <w:rFonts w:ascii="Arial" w:cs="Arial" w:eastAsia="Arial" w:hAnsi="Arial"/>
          <w:b w:val="1"/>
          <w:sz w:val="24"/>
          <w:szCs w:val="24"/>
          <w:rtl w:val="0"/>
        </w:rPr>
        <w:t xml:space="preserve">CURRICULUM VITAE:</w:t>
      </w:r>
      <w:r w:rsidDel="00000000" w:rsidR="00000000" w:rsidRPr="00000000">
        <w:rPr>
          <w:rFonts w:ascii="Arial" w:cs="Arial" w:eastAsia="Arial" w:hAnsi="Arial"/>
          <w:sz w:val="24"/>
          <w:szCs w:val="24"/>
          <w:rtl w:val="0"/>
        </w:rPr>
        <w:t xml:space="preserve"> General Health Psychologist and Gestalt Psychotherapist. Didactic Member and Supervisor of the AETG. Recognised by FEAP and EFPA. Trained in Enneagram, analysis and conduction of groups and family constellations. Experience in Mental Health, addictions, dual pathology and Psychosocial Care Network for People with Mental Illness. Trainer and collaborator in Escuela Gestalt Equipo Centro Formación. Individual and group attention to women in infertility processes.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dobe Devanaga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spacing w:line="240" w:lineRule="auto"/>
      <w:jc w:val="right"/>
      <w:rPr>
        <w:color w:val="000000"/>
      </w:rPr>
    </w:pPr>
    <w:r w:rsidDel="00000000" w:rsidR="00000000" w:rsidRPr="00000000">
      <w:rPr>
        <w:rFonts w:ascii="Adobe Devanagari" w:cs="Adobe Devanagari" w:eastAsia="Adobe Devanagari" w:hAnsi="Adobe Devanagari"/>
        <w:color w:val="000000"/>
      </w:rPr>
      <w:drawing>
        <wp:inline distB="0" distT="0" distL="0" distR="0">
          <wp:extent cx="1570024" cy="698288"/>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0024" cy="6982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widowControl w:val="0"/>
      <w:spacing w:line="240" w:lineRule="auto"/>
      <w:ind w:firstLine="360"/>
    </w:pPr>
    <w:rPr>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62B84"/>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rsid w:val="00EF1FA4"/>
    <w:pPr>
      <w:keepNext w:val="1"/>
      <w:widowControl w:val="0"/>
      <w:wordWrap w:val="0"/>
      <w:autoSpaceDE w:val="0"/>
      <w:autoSpaceDN w:val="0"/>
      <w:spacing w:line="240" w:lineRule="auto"/>
      <w:ind w:firstLine="360" w:firstLineChars="150"/>
      <w:outlineLvl w:val="3"/>
    </w:pPr>
    <w:rPr>
      <w:rFonts w:eastAsia="Batang"/>
      <w:kern w:val="2"/>
      <w:sz w:val="24"/>
      <w:szCs w:val="24"/>
      <w:lang w:eastAsia="ko-KR" w:val="en-US"/>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semiHidden w:val="1"/>
    <w:rsid w:val="00311650"/>
    <w:rPr>
      <w:sz w:val="16"/>
      <w:szCs w:val="16"/>
    </w:rPr>
  </w:style>
  <w:style w:type="character" w:styleId="Refdenotaalpie">
    <w:name w:val="footnote reference"/>
    <w:basedOn w:val="Fuentedeprrafopredeter"/>
    <w:semiHidden w:val="1"/>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styleId="EncabezadoCar" w:customStyle="1">
    <w:name w:val="Encabezado Car"/>
    <w:basedOn w:val="Fuentedeprrafopredeter"/>
    <w:link w:val="Encabezado"/>
    <w:rsid w:val="0009737D"/>
    <w:rPr>
      <w:lang w:eastAsia="es-ES" w:val="es-ES"/>
    </w:rPr>
  </w:style>
  <w:style w:type="paragraph" w:styleId="Prrafodelista">
    <w:name w:val="List Paragraph"/>
    <w:basedOn w:val="Normal"/>
    <w:uiPriority w:val="34"/>
    <w:qFormat w:val="1"/>
    <w:rsid w:val="00DA4776"/>
    <w:pPr>
      <w:ind w:left="720"/>
      <w:contextualSpacing w:val="1"/>
    </w:pPr>
  </w:style>
  <w:style w:type="character" w:styleId="HTMLconformatoprevioCar" w:customStyle="1">
    <w:name w:val="HTML con formato previo Car"/>
    <w:basedOn w:val="Fuentedeprrafopredeter"/>
    <w:link w:val="HTMLconformatoprevio"/>
    <w:uiPriority w:val="99"/>
    <w:rsid w:val="00FB7829"/>
    <w:rPr>
      <w:rFonts w:ascii="Courier New" w:cs="Courier New" w:hAnsi="Courier New"/>
      <w:color w:val="000000"/>
      <w:lang w:eastAsia="es-ES" w:val="es-ES"/>
    </w:rPr>
  </w:style>
  <w:style w:type="character" w:styleId="Mencinsinresolver1" w:customStyle="1">
    <w:name w:val="Mención sin resolver1"/>
    <w:basedOn w:val="Fuentedeprrafopredeter"/>
    <w:uiPriority w:val="99"/>
    <w:semiHidden w:val="1"/>
    <w:unhideWhenUsed w:val="1"/>
    <w:rsid w:val="00387ADB"/>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notaalfinal">
    <w:name w:val="endnote text"/>
    <w:basedOn w:val="Normal"/>
    <w:link w:val="TextonotaalfinalCar"/>
    <w:uiPriority w:val="99"/>
    <w:semiHidden w:val="1"/>
    <w:unhideWhenUsed w:val="1"/>
    <w:rsid w:val="002C3D1E"/>
    <w:pPr>
      <w:spacing w:line="240" w:lineRule="auto"/>
    </w:pPr>
  </w:style>
  <w:style w:type="character" w:styleId="TextonotaalfinalCar" w:customStyle="1">
    <w:name w:val="Texto nota al final Car"/>
    <w:basedOn w:val="Fuentedeprrafopredeter"/>
    <w:link w:val="Textonotaalfinal"/>
    <w:uiPriority w:val="99"/>
    <w:semiHidden w:val="1"/>
    <w:rsid w:val="002C3D1E"/>
  </w:style>
  <w:style w:type="character" w:styleId="Refdenotaalfinal">
    <w:name w:val="endnote reference"/>
    <w:basedOn w:val="Fuentedeprrafopredeter"/>
    <w:uiPriority w:val="99"/>
    <w:semiHidden w:val="1"/>
    <w:unhideWhenUsed w:val="1"/>
    <w:rsid w:val="002C3D1E"/>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2zTGVYQ5QvMh2VzM1LmTgVqMVA==">CgMxLjAyDmgucXlyYmN1d2xxcDVmMgloLjMwajB6bGwyCWguMWZvYjl0ZTIJaC4zem55c2g3MghoLmdqZGd4czgAciExS1FwY2dONzJKeFV5dk9mdDJtb0w4ejkxZ29MTzFkWkI=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2023-03-22T23:22:00Z</dcterms:created>
  <dc:creator>Mario Arias Oliva</dc:creator>
</cp:coreProperties>
</file>